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00" w:line="300" w:lineRule="auto"/>
      </w:pPr>
      <w:r>
        <w:rPr>
          <w:rFonts w:ascii="Arial Unicode MS" w:hAnsi="Arial Unicode MS" w:eastAsia="Arial Unicode MS" w:cs="Arial Unicode MS"/>
          <w:b/>
          <w:color w:val="168A55"/>
          <w:sz w:val="18"/>
        </w:rPr>
        <w:t>航司权益交付文件｜服务适用范围与法务审核</w:t>
      </w:r>
    </w:p>
    <w:p>
      <w:pPr>
        <w:spacing w:before="0" w:after="8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36"/>
        </w:rPr>
        <w:t>淋浴休整｜服务适用范围与法务说明</w:t>
      </w:r>
    </w:p>
    <w:p>
      <w:pPr>
        <w:spacing w:before="0" w:after="120" w:line="300" w:lineRule="auto"/>
      </w:pPr>
      <w:r>
        <w:rPr>
          <w:rFonts w:ascii="Arial Unicode MS" w:hAnsi="Arial Unicode MS" w:eastAsia="Arial Unicode MS" w:cs="Arial Unicode MS"/>
          <w:b w:val="0"/>
          <w:color w:val="5D6A73"/>
          <w:sz w:val="19"/>
        </w:rPr>
        <w:t>请由航司业务、产品及法务共同确认。本文档用于限定该权益的展示范围，并回答旅客“什么航班、什么机型、什么条件、什么时候可以享受”。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航司中文名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航司二字码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权益节点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2.8 · 淋浴休整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ZIP 固定目录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2-机场休息/淋浴休整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业务负责人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法务审核人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文件版本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V1.0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更新日期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2026-07-23</w:t>
            </w:r>
          </w:p>
        </w:tc>
      </w:tr>
    </w:tbl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8"/>
              </w:rPr>
              <w:t>上线门槛：覆盖航线、覆盖机型、适用舱位/人群、触发条件及例外场景均须确认。任一关键范围留空或未获法务批准，本权益节点不得上线。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1. 服务事实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 / 权益名称：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[航司填写，应与页面主标题指向同一项服务]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服务说明：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[航司填写，说明用户实际获得什么，不写未经确认的承诺]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展示位置：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飞猪 OTA 航班详情页 → 航司权益内容入口</w:t>
      </w:r>
    </w:p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2. 适用范围矩阵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050"/>
        <w:gridCol w:w="3460"/>
        <w:gridCol w:w="3850"/>
      </w:tblGrid>
      <w:tr>
        <w:tc>
          <w:tcPr>
            <w:tcW w:type="dxa" w:w="20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覆盖维度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航司确认内容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填写说明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覆盖航线 / 航段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[航司填写：始发地—目的地；多条用分号分隔]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必须写清单程/往返、国内/国际及是否限实际承运航班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覆盖机型 / 子机队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[航司填写：机型、子型号、注册号范围或座椅版本]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机型不能只写“宽体机”；如与注册号或改装版本有关须一并写明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适用舱位 / 人群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[航司填写：头等舱、商务舱、会员等级、付费产品等]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写明票价产品、会员身份、随行人员及儿童等限制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销售与履约条件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[航司填写：出票日期、旅行日期、销售市场、渠道、预订方式]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如需预约、预选、库存确认或现场申请，必须明确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可享受时点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[航司填写：值机前、登机前、登机落座后、巡航中、抵达前等]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用于回答“什么时候能享受到该服务”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不适用 / 例外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[航司填写：代码共享、临时换机、特殊票价、机场限制等]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例外规则优先于通用范围；无例外也须填写“无”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有效期与更新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[航司填写：生效日期、截止日期、最近更新日期]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权益或范围变化后，须在上线前同步更新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3. 法务浮层展示口径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7160"/>
      </w:tblGrid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页面简明口径（必填）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本服务仅适用于[航线/航段]、由[机型/子机队]执飞的[舱位/人群]。需满足[触发条件]，不适用于[例外场景]。实际服务以航司实际执飞、订单页及现场保障为准。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航司批准中文口径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[航司法务填写或确认]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航司批准英文口径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[如页面需要英文版本，请由航司填写并确认]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7"/>
              </w:rPr>
              <w:t>展示策略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805B00"/>
                <w:sz w:val="17"/>
              </w:rPr>
              <w:t>仅在上述适用条件命中时展示；任何关键范围留空时，本节点不得上线。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4. 上线确认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4800"/>
        <w:gridCol w:w="1800"/>
        <w:gridCol w:w="2760"/>
      </w:tblGrid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上线前确认项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结论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责任人 / 日期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覆盖航线、机型及适用舱位与实际产品一致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触发条件、可享受时点与例外场景已完整填写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中文 / 英文法务口径已由航司批准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图片、视频与本节点权益事实及授权范围一致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业务、品牌及法务均同意上线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</w:tbl>
    <w:p>
      <w:pPr>
        <w:spacing w:before="160" w:after="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18"/>
        </w:rPr>
        <w:t>航司最终确认：____________________    法务确认：____________________    日期：____________________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航司确认稿｜仅用于航司权益接入、法务审核与页面配置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飞猪航司富内容接入｜2.8 淋浴休整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76" w:lineRule="auto"/>
    </w:pPr>
    <w:rPr>
      <w:rFonts w:ascii="Arial Unicode MS" w:hAnsi="Arial Unicode MS" w:eastAsia="Arial Unicode MS" w:cs="Arial Unicode M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